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102</w:t>
      </w:r>
    </w:p>
    <w:p>
      <w:r>
        <w:t>Bundesgericht (BGE), 1994-08-22, DE</w:t>
      </w:r>
    </w:p>
    <w:p>
      <w:r>
        <w:rPr>
          <w:b/>
        </w:rPr>
        <w:t xml:space="preserve">Quelle: </w:t>
      </w:r>
      <w:r>
        <w:t>https://mcp.opencaselaw.ch/entscheid/bge_120 III 102</w:t>
      </w:r>
    </w:p>
    <w:p>
      <w:r>
        <w:t>FR: ATF 120 III 102</w:t>
      </w:r>
    </w:p>
    <w:p>
      <w:r>
        <w:t>IT: DTF 120 III 102</w:t>
      </w:r>
    </w:p>
    <w:p>
      <w:pPr>
        <w:pStyle w:val="Heading2"/>
      </w:pPr>
      <w:r>
        <w:t>Regeste</w:t>
      </w:r>
    </w:p>
    <w:p>
      <w:r>
        <w:t>Regeste Art. 67 Abs. 3 GebVSchKG; Auferlegung der Verfahrenskosten bei böswilliger oder mutwilliger Beschwerdeführung. Die Höhe der Verfahrenskosten, welche im kantonalen Verfahren (gemäss Art. 17 und 18 SchKG) bei böswilliger oder mutwilliger Beschwerdeführung auferlegt werden, richtet sich nach kantonalem Tarif.</w:t>
      </w:r>
    </w:p>
    <w:p>
      <w:pPr>
        <w:pStyle w:val="Heading2"/>
      </w:pPr>
      <w:r>
        <w:t>Erwägungen</w:t>
      </w:r>
    </w:p>
    <w:p>
      <w:r>
        <w:rPr>
          <w:b/>
        </w:rPr>
        <w:t>E. 3</w:t>
      </w:r>
    </w:p>
    <w:p>
      <w:r>
        <w:t>Zu Unrecht meint die Rekurrentin, die Höhe der ihr gestützt auf Art. 67 Abs. 3 GebVSchKG auferlegten Verfahrenskosten richte sich nach dem vom Bundesrat erlassenen Gebührentarif zum Bundesgesetz über Schuldbetreibung und Konkurs. Art. 67 Abs. 2 GebTSchKG lautete in der Fassung vom 29. Juni 1983 (AS 1983 792): "Diese Behörden können einer Partei bei böswilliger oder mutwilliger Beschwerdeführung die Verfahrenskosten nach kantonalem Tarif auferlegen". Durch diese Fassung wurde das Schreiben der Schuldbetreibungs- und Konkurskammer des Bundesgerichts vom 3. Februar 1954 ( BGE 100 III 1 ), womit die Art. 7 und 12 GebTSchKG als anwendbar erklärt wurden, überholt. Seit 1. August 1983 setzen daher die kantonalen Aufsichtsbehörden über Schuldbetreibung und Konkurs bei böswilliger oder mutwilliger Beschwerdeführung die Verfahrenskosten nach ihrem eigenen Tarif fest. Daran ändert der Umstand nichts, dass die derzeit geltende Gebührenverordnung zum Bundesgesetz über Schuldbetreibung und Konkurs (Fassung gemäss Ziff. I der Verordnung vom 17. Juni 1991; AS 1991 1312; SR 281.35) die Worte "nach kantonalem Tarif" nicht mehr enthält. Die Kompetenzzuweisung an das BGE 120 III 102 S. 103 kantonale Verfahrensrecht entspricht dem Verfassungsgrundsatz, dass das gerichtliche Verfahren unter der Herrschaft der Kantone verbleibt ( Art. 64 Abs. 3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